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6BBF0DE">
      <w:pPr>
        <w:pStyle w:val="style0"/>
        <w:jc w:val="center"/>
        <w:rPr>
          <w:rFonts w:ascii="Times New Roman" w:cs="Times New Roman" w:eastAsia="华文中宋" w:hAnsi="Times New Roman" w:hint="eastAsia"/>
          <w:sz w:val="40"/>
          <w:szCs w:val="32"/>
          <w:lang w:eastAsia="zh-CN"/>
        </w:rPr>
      </w:pPr>
      <w:bookmarkStart w:id="0" w:name="_GoBack"/>
      <w:bookmarkEnd w:id="0"/>
      <w:r>
        <w:rPr>
          <w:rFonts w:ascii="Times New Roman" w:cs="Times New Roman" w:eastAsia="华文中宋" w:hAnsi="Times New Roman" w:hint="eastAsia"/>
          <w:sz w:val="40"/>
          <w:szCs w:val="32"/>
          <w:lang w:eastAsia="zh-CN"/>
        </w:rPr>
        <w:t>202</w:t>
      </w:r>
      <w:r>
        <w:rPr>
          <w:rFonts w:ascii="Times New Roman" w:cs="Times New Roman" w:eastAsia="华文中宋" w:hAnsi="Times New Roman" w:hint="eastAsia"/>
          <w:sz w:val="40"/>
          <w:szCs w:val="32"/>
          <w:lang w:val="en-US" w:eastAsia="zh-CN"/>
        </w:rPr>
        <w:t>5 - 2026</w:t>
      </w:r>
      <w:r>
        <w:rPr>
          <w:rFonts w:ascii="Times New Roman" w:cs="Times New Roman" w:eastAsia="华文中宋" w:hAnsi="Times New Roman" w:hint="eastAsia"/>
          <w:kern w:val="2"/>
          <w:sz w:val="40"/>
          <w:szCs w:val="32"/>
          <w:lang w:val="en-US" w:bidi="ar-SA" w:eastAsia="zh-CN"/>
        </w:rPr>
        <w:t xml:space="preserve"> </w:t>
      </w:r>
      <w:r>
        <w:rPr>
          <w:rFonts w:ascii="Times New Roman" w:cs="Times New Roman" w:eastAsia="华文中宋" w:hAnsi="Times New Roman" w:hint="eastAsia"/>
          <w:sz w:val="40"/>
          <w:szCs w:val="32"/>
          <w:lang w:val="en-US" w:eastAsia="zh-CN"/>
        </w:rPr>
        <w:t>学年研究生公共课程及部分专业课程选课说明</w:t>
      </w:r>
    </w:p>
    <w:p w14:paraId="6E96D44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lineRule="exact" w:line="480"/>
        <w:ind w:firstLine="643" w:firstLineChars="200"/>
        <w:jc w:val="both"/>
        <w:textAlignment w:val="auto"/>
        <w:rPr>
          <w:rFonts w:ascii="仿宋" w:cs="Times New Roman" w:eastAsia="仿宋" w:hAnsi="仿宋" w:hint="eastAsia"/>
          <w:b/>
          <w:kern w:val="2"/>
          <w:sz w:val="32"/>
          <w:szCs w:val="32"/>
          <w:lang w:val="en-US" w:bidi="ar-SA" w:eastAsia="zh-CN"/>
        </w:rPr>
      </w:pPr>
      <w:r>
        <w:rPr>
          <w:rFonts w:ascii="仿宋" w:cs="Times New Roman" w:eastAsia="仿宋" w:hAnsi="仿宋" w:hint="eastAsia"/>
          <w:b/>
          <w:kern w:val="2"/>
          <w:sz w:val="32"/>
          <w:szCs w:val="32"/>
          <w:lang w:val="en-US" w:bidi="ar-SA" w:eastAsia="zh-CN"/>
        </w:rPr>
        <w:t>一、公共课</w:t>
      </w:r>
    </w:p>
    <w:p w14:paraId="5019BCE1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（一）公共课开设情况</w:t>
      </w:r>
    </w:p>
    <w:p w14:paraId="05698E38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宋体" w:cs="宋体" w:eastAsia="宋体" w:hAnsi="宋体" w:hint="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 xml:space="preserve">请查阅下表。“√”代表开设。请根据面向对象进行选课，严禁跨选。 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</w:p>
    <w:tbl>
      <w:tblPr>
        <w:tblStyle w:val="style105"/>
        <w:tblW w:w="9140" w:type="dxa"/>
        <w:jc w:val="center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85"/>
        <w:gridCol w:w="879"/>
        <w:gridCol w:w="2712"/>
        <w:gridCol w:w="1555"/>
        <w:gridCol w:w="769"/>
        <w:gridCol w:w="822"/>
        <w:gridCol w:w="1622"/>
      </w:tblGrid>
      <w:tr w14:paraId="794E473D">
        <w:trPr>
          <w:trHeight w:val="0" w:hRule="auto"/>
          <w:tblHeader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78ADC5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课程类别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6737E0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课程代码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F11DAF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课程名称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CDEA98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开课单位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A229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第一学期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83FC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第二学期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7C1219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微软雅黑" w:cs="微软雅黑" w:eastAsia="微软雅黑" w:hAnsi="微软雅黑" w:hint="eastAsia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ascii="微软雅黑" w:cs="微软雅黑" w:hAnsi="微软雅黑" w:hint="default"/>
                <w:b/>
                <w:bCs/>
                <w:color w:val="000000"/>
                <w:sz w:val="18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651B958">
        <w:tblPrEx/>
        <w:trPr>
          <w:trHeight w:val="0" w:hRule="auto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CBB2F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21"/>
                <w:highlight w:val="none"/>
              </w:rPr>
              <w:t>政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21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21"/>
                <w:highlight w:val="none"/>
              </w:rPr>
              <w:t>治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21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21"/>
                <w:highlight w:val="none"/>
              </w:rPr>
              <w:t>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B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2700006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7D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新时代中国特色社会主义理论与实践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15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0B3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3A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1E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硕士课程</w:t>
            </w:r>
          </w:p>
        </w:tc>
      </w:tr>
      <w:tr w14:paraId="503A685D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3ACB84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DF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2700002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40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自然辩证法概论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0B8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D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5FC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6C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硕士课程</w:t>
            </w:r>
          </w:p>
        </w:tc>
      </w:tr>
      <w:tr w14:paraId="1B47D58D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AFA22A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DB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2700003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5B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中国马克思主义与当代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C0C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B8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31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172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博士课程</w:t>
            </w:r>
          </w:p>
        </w:tc>
      </w:tr>
      <w:tr w14:paraId="78458475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D41D90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F7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2700005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89E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23E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1B9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DD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46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硕士课程</w:t>
            </w:r>
          </w:p>
        </w:tc>
      </w:tr>
      <w:tr w14:paraId="04549F14">
        <w:tblPrEx/>
        <w:trPr>
          <w:trHeight w:val="0" w:hRule="auto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A76C0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数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学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6B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1700001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444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数值分析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F31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568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C1F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5EC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硕士课程</w:t>
            </w:r>
          </w:p>
          <w:p w14:paraId="1D1DA35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理工类2选1</w:t>
            </w:r>
          </w:p>
        </w:tc>
      </w:tr>
      <w:tr w14:paraId="2E4EE681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13DA1B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144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1700002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2A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矩阵分析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95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516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FC8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633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1D68CC7D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40D6AC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D66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1700004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A9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近代数学基础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43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71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51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C3C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博士课程</w:t>
            </w:r>
          </w:p>
        </w:tc>
      </w:tr>
      <w:tr w14:paraId="4D1C2BA1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6487B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FD6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1700006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BCB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随机过程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477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771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F5F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D0F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硕士/博士</w:t>
            </w:r>
          </w:p>
        </w:tc>
      </w:tr>
      <w:tr w14:paraId="47622EB6">
        <w:tblPrEx/>
        <w:trPr>
          <w:trHeight w:val="0" w:hRule="auto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B0668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英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语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F03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2400031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D01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跨文化交际英语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64E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C7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959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85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硕士课程</w:t>
            </w:r>
          </w:p>
        </w:tc>
      </w:tr>
      <w:tr w14:paraId="1604C9A2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84253F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302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2400041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37B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学术交流英语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CBA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811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CA8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F08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硕士课程</w:t>
            </w:r>
          </w:p>
        </w:tc>
      </w:tr>
      <w:tr w14:paraId="3A1822F4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77671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C3D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2400061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9F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学术英语写作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3B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AF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F8A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DF0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博士课程</w:t>
            </w:r>
          </w:p>
        </w:tc>
      </w:tr>
      <w:tr w14:paraId="1117882C">
        <w:tblPrEx/>
        <w:trPr>
          <w:trHeight w:val="0" w:hRule="auto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2D52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18"/>
                <w:highlight w:val="none"/>
              </w:rPr>
            </w:pP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类别前沿课/前沿交叉课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65C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8000001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DD7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卓越工程前沿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B31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珠海校区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A76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等线" w:eastAsia="宋体" w:hAnsi="等线"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D2D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等线" w:eastAsia="宋体" w:hAnsi="等线" w:hint="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EC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等线" w:eastAsia="宋体" w:hAnsi="等线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博士课程</w:t>
            </w:r>
          </w:p>
        </w:tc>
      </w:tr>
      <w:tr w14:paraId="60471040">
        <w:tblPrEx/>
        <w:trPr>
          <w:trHeight w:val="0" w:hRule="auto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C8101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模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块</w:t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br/>
            </w: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C4E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2200001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543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科学道德与学术诚信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2E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教育学院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55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74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907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硕士/博士</w:t>
            </w:r>
          </w:p>
        </w:tc>
      </w:tr>
      <w:tr w14:paraId="610420C9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30E108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4B9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0300201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8E0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信息检索与科技写作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3E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机械与车辆学院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E3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796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1FB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硕士/博士</w:t>
            </w:r>
          </w:p>
        </w:tc>
      </w:tr>
      <w:tr w14:paraId="1D94B1B5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B1B280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3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2200003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3B0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心理健康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7B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教育学院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64A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25C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61D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硕士/博士</w:t>
            </w:r>
          </w:p>
        </w:tc>
      </w:tr>
      <w:tr w14:paraId="7AD39B50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848680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35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0300204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49C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工程伦理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D4D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机械与车辆学院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AD5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57F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7EF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硕士/博士</w:t>
            </w:r>
          </w:p>
        </w:tc>
      </w:tr>
      <w:tr w14:paraId="4C4739FA">
        <w:tblPrEx/>
        <w:trPr>
          <w:trHeight w:val="340" w:hRule="atLeast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A0289E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5C6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0300202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C5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科技写作实训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66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机械与车辆学院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DC8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A44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8A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硕士/博士</w:t>
            </w:r>
          </w:p>
        </w:tc>
      </w:tr>
      <w:tr w14:paraId="596E554C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7090C5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39B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2500086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6C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体育与艺术素养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A6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设计与艺术学院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D3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6B8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DD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课程</w:t>
            </w:r>
          </w:p>
        </w:tc>
      </w:tr>
      <w:tr w14:paraId="6BDBB60E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C8CF23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3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0018002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BDF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高级工程管理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F77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管理学院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821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50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46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工程博士</w:t>
            </w:r>
          </w:p>
        </w:tc>
      </w:tr>
      <w:tr w14:paraId="47E3D447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3E908F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DFC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0200193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34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国家安全概论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3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机电学院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4DF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63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E7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硕士/博士</w:t>
            </w:r>
          </w:p>
        </w:tc>
      </w:tr>
      <w:tr w14:paraId="7A9B9125">
        <w:tblPrEx/>
        <w:trPr>
          <w:trHeight w:val="0" w:hRule="auto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70E5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  <w:r>
              <w:rPr>
                <w:rFonts w:ascii="宋体" w:cs="微软雅黑" w:eastAsia="宋体" w:hAnsi="微软雅黑" w:hint="eastAsia"/>
                <w:b/>
                <w:bCs/>
                <w:color w:val="000000"/>
                <w:kern w:val="0"/>
                <w:sz w:val="16"/>
                <w:szCs w:val="18"/>
                <w:highlight w:val="none"/>
              </w:rPr>
              <w:t>留学生课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4D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3700005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4A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基础汉语Ⅰ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0CA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留学生中心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EB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48F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CCE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硕士/博士</w:t>
            </w:r>
          </w:p>
        </w:tc>
      </w:tr>
      <w:tr w14:paraId="30BB06A8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9D93A6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66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3700002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9F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中国概况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3BA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留学生中心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D7E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89D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00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硕士/博士</w:t>
            </w:r>
          </w:p>
        </w:tc>
      </w:tr>
      <w:tr w14:paraId="260D8348">
        <w:tblPrEx/>
        <w:trPr>
          <w:trHeight w:val="0" w:hRule="auto"/>
          <w:jc w:val="center"/>
        </w:trPr>
        <w:tc>
          <w:tcPr>
            <w:tcW w:w="7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3E14DA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rPr>
                <w:rFonts w:ascii="宋体" w:cs="微软雅黑" w:eastAsia="宋体" w:hAnsi="微软雅黑"/>
                <w:b/>
                <w:bCs/>
                <w:color w:val="000000"/>
                <w:sz w:val="16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6D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1701002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4C6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（英）矩阵分析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F1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B7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3A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0F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 w:val="false"/>
              <w:spacing w:beforeAutospacing="false" w:afterAutospacing="false" w:lineRule="auto" w:line="24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硕士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  <w:highlight w:val="none"/>
              </w:rPr>
              <w:t>课程</w:t>
            </w:r>
          </w:p>
        </w:tc>
      </w:tr>
    </w:tbl>
    <w:p w14:paraId="6AE58BED"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rPr>
          <w:rFonts w:ascii="仿宋" w:cs="Times New Roman" w:eastAsia="仿宋" w:hAnsi="仿宋" w:hint="eastAsia"/>
          <w:color w:val="000000"/>
          <w:kern w:val="2"/>
          <w:sz w:val="24"/>
          <w:szCs w:val="24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24"/>
          <w:szCs w:val="24"/>
          <w:highlight w:val="none"/>
          <w:lang w:val="en-US" w:bidi="ar-SA" w:eastAsia="zh-CN"/>
        </w:rPr>
        <w:t xml:space="preserve">备注：具体的课程开设情况以系统显示信息为准。 </w:t>
      </w:r>
    </w:p>
    <w:p w14:paraId="4FACA7C0"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firstLine="640" w:firstLineChars="200"/>
        <w:textAlignment w:val="auto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（二）英语课程请依据以下通知进行选课：</w:t>
      </w:r>
    </w:p>
    <w:p w14:paraId="1C438C37"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640" w:firstLineChars="2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2025级硕士研究生公共英语分级选课及免修通知：</w:t>
      </w: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fldChar w:fldCharType="begin"/>
      </w: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instrText xml:space="preserve"> HYPERLINK "https://grd.bit.edu.cn/pygz/jwyx/tzgg_jwyx/2a209ebeb9f04d7087eed28f4c9549f0.htm。" </w:instrText>
      </w: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fldChar w:fldCharType="separate"/>
      </w: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https://grd.bit.edu.cn/pygz/jwyx/tzgg_jwyx/2a209ebeb9f04d7087eed28f4c9549f0.htm；</w:t>
      </w: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fldChar w:fldCharType="end"/>
      </w:r>
    </w:p>
    <w:p w14:paraId="5E648D64"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640" w:firstLineChars="2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 xml:space="preserve">2025级博士研究生公共英语选课及免修通知：https://grd.bit.edu.cn/pygz/jwyx/tzgg_jwyx/3ba40633490f494496e2e9f936874e39.htm。  </w:t>
      </w:r>
    </w:p>
    <w:p w14:paraId="2A3A4B4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lineRule="exact" w:line="480"/>
        <w:ind w:firstLine="643" w:firstLineChars="200"/>
        <w:jc w:val="both"/>
        <w:textAlignment w:val="auto"/>
        <w:rPr>
          <w:rFonts w:ascii="仿宋" w:cs="Times New Roman" w:eastAsia="仿宋" w:hAnsi="仿宋" w:hint="eastAsia"/>
          <w:b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b/>
          <w:color w:val="000000"/>
          <w:kern w:val="2"/>
          <w:sz w:val="32"/>
          <w:szCs w:val="32"/>
          <w:highlight w:val="none"/>
          <w:lang w:val="en-US" w:bidi="ar-SA" w:eastAsia="zh-CN"/>
        </w:rPr>
        <w:t>二、模块课</w:t>
      </w:r>
    </w:p>
    <w:p w14:paraId="496274DD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1、《学术道德与综合素质》课程</w:t>
      </w:r>
    </w:p>
    <w:p w14:paraId="32FC069B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（1）面向对象</w:t>
      </w:r>
    </w:p>
    <w:p w14:paraId="37DB488A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面向学术型硕士及学术型博士研究生。</w:t>
      </w:r>
    </w:p>
    <w:p w14:paraId="5087D270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（2）课程内容和授课模式</w:t>
      </w:r>
    </w:p>
    <w:p w14:paraId="0DEAB769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>包括《科学道德与学术诚信》8学时，0.5学分；《信息检索与科技写作》16学时，1学分；《心理健康》（专业学位硕士及博士也需修读该课程）8学时，0.5学分，共3个模块；《体育与艺术素养》8学时，0.5学分。4个模块均为必修课程。各模块独立开课（拥有独立的课程代码）、独立运行（包括选课、教学、考核等），成绩单独评定。</w:t>
      </w:r>
    </w:p>
    <w:p w14:paraId="168F331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lineRule="exact" w:line="480"/>
        <w:ind w:firstLine="643" w:firstLineChars="200"/>
        <w:jc w:val="both"/>
        <w:textAlignment w:val="auto"/>
        <w:rPr>
          <w:rFonts w:ascii="仿宋" w:cs="Times New Roman" w:eastAsia="仿宋" w:hAnsi="仿宋" w:hint="eastAsia"/>
          <w:b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b/>
          <w:color w:val="000000"/>
          <w:kern w:val="2"/>
          <w:sz w:val="32"/>
          <w:szCs w:val="32"/>
          <w:highlight w:val="none"/>
          <w:lang w:val="en-US" w:bidi="ar-SA" w:eastAsia="zh-CN"/>
        </w:rPr>
        <w:t>三、专业课</w:t>
      </w:r>
    </w:p>
    <w:p w14:paraId="20BDD2E9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</w:pPr>
      <w:r>
        <w:rPr>
          <w:rFonts w:ascii="仿宋" w:cs="Times New Roman" w:eastAsia="仿宋" w:hAnsi="仿宋" w:hint="eastAsia"/>
          <w:color w:val="000000"/>
          <w:kern w:val="2"/>
          <w:sz w:val="32"/>
          <w:szCs w:val="32"/>
          <w:highlight w:val="none"/>
          <w:lang w:val="en-US" w:bidi="ar-SA" w:eastAsia="zh-CN"/>
        </w:rPr>
        <w:t xml:space="preserve">管理学院专业学位中心本学期为MBA项目开设的课程，仅允许本专业学生修读，若有其他学院学生选修，将予以退选。 </w:t>
      </w:r>
    </w:p>
    <w:tbl>
      <w:tblPr>
        <w:tblStyle w:val="style105"/>
        <w:tblW w:w="49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10"/>
        <w:gridCol w:w="4029"/>
        <w:gridCol w:w="1203"/>
        <w:gridCol w:w="1203"/>
      </w:tblGrid>
      <w:tr w14:paraId="32D27273">
        <w:trPr>
          <w:trHeight w:val="505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BB3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bidi w:val="false"/>
              <w:snapToGrid/>
              <w:spacing w:beforeAutospacing="false" w:afterAutospacing="false" w:lineRule="auto" w:line="24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开设学期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018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课程代码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C71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课程名称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78F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学时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E0D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</w:p>
        </w:tc>
      </w:tr>
      <w:tr w14:paraId="169C20A3">
        <w:tblPrEx/>
        <w:trPr>
          <w:trHeight w:val="460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36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F8A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2100003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EE0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商务英语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83B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CB4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43A60E6">
        <w:tblPrEx/>
        <w:trPr>
          <w:trHeight w:val="448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F39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A8AF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2100005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F1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管理经济学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808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D14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0CD971B0">
        <w:tblPrEx/>
        <w:trPr>
          <w:trHeight w:val="448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A8C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F7A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2100006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130B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运作管理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66D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35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527F6A67">
        <w:tblPrEx/>
        <w:trPr>
          <w:trHeight w:val="482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733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00F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2100011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5EF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人力资源管理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C3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C26B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7DFB5C1">
        <w:tblPrEx/>
        <w:trPr>
          <w:trHeight w:val="460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603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B4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2100008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B740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会计学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12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6C9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07B572F">
        <w:tblPrEx/>
        <w:trPr>
          <w:trHeight w:val="449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A651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F7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2100026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B2C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财务分析与经营决策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3E37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40E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E275747">
        <w:tblPrEx/>
        <w:trPr>
          <w:trHeight w:val="561" w:hRule="atLeast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02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600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2100035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935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员工关系管理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A2C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8A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 w14:paraId="4C68DC6F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beforeAutospacing="false" w:afterAutospacing="false" w:lineRule="auto" w:line="240"/>
        <w:ind w:firstLine="960" w:firstLineChars="300"/>
        <w:rPr>
          <w:rFonts w:ascii="仿宋" w:cs="Times New Roman" w:eastAsia="仿宋" w:hAnsi="仿宋" w:hint="eastAsia"/>
          <w:kern w:val="2"/>
          <w:sz w:val="32"/>
          <w:szCs w:val="32"/>
          <w:lang w:val="en-US" w:bidi="ar-SA" w:eastAsia="zh-CN"/>
        </w:rPr>
      </w:pPr>
    </w:p>
    <w:sectPr>
      <w:pgSz w:w="11906" w:h="16838" w:orient="portrait"/>
      <w:pgMar w:top="720" w:right="720" w:bottom="720" w:left="72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paragraph" w:styleId="style3">
    <w:name w:val="heading 3"/>
    <w:basedOn w:val="style0"/>
    <w:next w:val="style0"/>
    <w:qFormat/>
    <w:uiPriority w:val="9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27"/>
      <w:szCs w:val="27"/>
      <w:lang w:val="en-US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0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qFormat/>
    <w:uiPriority w:val="99"/>
    <w:pPr/>
    <w:rPr>
      <w:b/>
      <w:bCs/>
    </w:rPr>
  </w:style>
  <w:style w:type="character" w:styleId="style86">
    <w:name w:val="FollowedHyperlink"/>
    <w:basedOn w:val="style65"/>
    <w:next w:val="style86"/>
    <w:qFormat/>
    <w:uiPriority w:val="99"/>
    <w:rPr>
      <w:color w:val="800080"/>
      <w:u w:val="single"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099">
    <w:name w:val="Default"/>
    <w:next w:val="style4099"/>
    <w:qFormat/>
    <w:uiPriority w:val="0"/>
    <w:pPr>
      <w:widowControl w:val="false"/>
      <w:autoSpaceDE w:val="false"/>
      <w:autoSpaceDN w:val="false"/>
      <w:adjustRightInd w:val="false"/>
    </w:pPr>
    <w:rPr>
      <w:rFonts w:ascii="仿宋" w:cs="仿宋" w:eastAsia="等线" w:hAnsi="仿宋"/>
      <w:color w:val="000000"/>
      <w:sz w:val="24"/>
      <w:szCs w:val="24"/>
      <w:lang w:val="en-US" w:bidi="ar-SA" w:eastAsia="zh-CN"/>
    </w:rPr>
  </w:style>
  <w:style w:type="character" w:customStyle="1" w:styleId="style4100">
    <w:name w:val="批注框文本 字符"/>
    <w:basedOn w:val="style65"/>
    <w:next w:val="style4100"/>
    <w:link w:val="style153"/>
    <w:qFormat/>
    <w:uiPriority w:val="99"/>
    <w:rPr>
      <w:kern w:val="2"/>
      <w:sz w:val="18"/>
      <w:szCs w:val="18"/>
    </w:rPr>
  </w:style>
  <w:style w:type="character" w:customStyle="1" w:styleId="style4101">
    <w:name w:val="批注文字 字符"/>
    <w:basedOn w:val="style65"/>
    <w:next w:val="style4101"/>
    <w:link w:val="style30"/>
    <w:qFormat/>
    <w:uiPriority w:val="99"/>
    <w:rPr>
      <w:kern w:val="2"/>
      <w:sz w:val="21"/>
      <w:szCs w:val="22"/>
    </w:rPr>
  </w:style>
  <w:style w:type="character" w:customStyle="1" w:styleId="style4102">
    <w:name w:val="批注主题 字符"/>
    <w:basedOn w:val="style4101"/>
    <w:next w:val="style4102"/>
    <w:link w:val="style106"/>
    <w:qFormat/>
    <w:uiPriority w:val="99"/>
    <w:rPr>
      <w:b/>
      <w:bCs/>
      <w:kern w:val="2"/>
      <w:sz w:val="21"/>
      <w:szCs w:val="22"/>
    </w:rPr>
  </w:style>
  <w:style w:type="character" w:customStyle="1" w:styleId="style4103">
    <w:name w:val="font51"/>
    <w:basedOn w:val="style65"/>
    <w:next w:val="style4103"/>
    <w:qFormat/>
    <w:uiPriority w:val="0"/>
    <w:rPr>
      <w:rFonts w:ascii="等线" w:cs="等线" w:eastAsia="等线" w:hAnsi="等线" w:hint="eastAsia"/>
      <w:color w:val="000000"/>
      <w:sz w:val="22"/>
      <w:szCs w:val="22"/>
      <w:u w:val="none"/>
    </w:rPr>
  </w:style>
  <w:style w:type="character" w:customStyle="1" w:styleId="style4104">
    <w:name w:val="font101"/>
    <w:basedOn w:val="style65"/>
    <w:next w:val="style4104"/>
    <w:qFormat/>
    <w:uiPriority w:val="0"/>
    <w:rPr>
      <w:rFonts w:ascii="等线" w:cs="等线" w:eastAsia="等线" w:hAnsi="等线" w:hint="eastAsia"/>
      <w:color w:val="000000"/>
      <w:sz w:val="22"/>
      <w:szCs w:val="22"/>
      <w:u w:val="none"/>
    </w:rPr>
  </w:style>
  <w:style w:type="character" w:customStyle="1" w:styleId="style4105">
    <w:name w:val="未处理的提及1"/>
    <w:basedOn w:val="style65"/>
    <w:next w:val="style4105"/>
    <w:qFormat/>
    <w:uiPriority w:val="99"/>
    <w:rPr>
      <w:color w:val="605e5c"/>
      <w:shd w:val="clear" w:color="auto" w:fill="e1dfdd"/>
    </w:rPr>
  </w:style>
  <w:style w:type="character" w:customStyle="1" w:styleId="style4106">
    <w:name w:val="未处理的提及2"/>
    <w:basedOn w:val="style65"/>
    <w:next w:val="style410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992</Words>
  <Pages>2</Pages>
  <Characters>1358</Characters>
  <Application>WPS Office</Application>
  <DocSecurity>0</DocSecurity>
  <Paragraphs>258</Paragraphs>
  <ScaleCrop>false</ScaleCrop>
  <LinksUpToDate>false</LinksUpToDate>
  <CharactersWithSpaces>1368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2024-08-26T03:57:00Z</dcterms:created>
  <dc:creator>magician q</dc:creator>
  <lastModifiedBy>V2454A</lastModifiedBy>
  <lastPrinted>2025-09-04T02:10:00Z</lastPrinted>
  <dcterms:modified xsi:type="dcterms:W3CDTF">2025-09-06T06:16:29Z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E8E80BF98FDD4B358D9D69FF3023366A_13</vt:lpwstr>
  </property>
  <property fmtid="{D5CDD505-2E9C-101B-9397-08002B2CF9AE}" pid="4" name="KSOTemplateDocerSaveRecord">
    <vt:lpwstr>eyJoZGlkIjoiMjcyNGI3MmExYmRhM2U2N2VlZDc5ZDRjMjQ0MTIzMjUiLCJ1c2VySWQiOiI2MzkzOTI5MDcifQ==</vt:lpwstr>
  </property>
</Properties>
</file>